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C04" w:rsidRPr="00B6340E" w:rsidRDefault="00B6340E" w:rsidP="006C6C04">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rPr>
      </w:pPr>
      <w:r w:rsidRPr="00B6340E">
        <w:rPr>
          <w:rFonts w:ascii="Segoe UI" w:eastAsia="Times New Roman" w:hAnsi="Segoe UI" w:cs="Segoe UI"/>
          <w:color w:val="000000"/>
        </w:rPr>
        <w:t>Multi-Year Guaranty Annuities (MYGAs) and Certificates of Deposit (CDs) are both types of savings vehicles that offer fixed returns, but they have some key differences</w:t>
      </w:r>
      <w:r w:rsidR="006C6C04">
        <w:rPr>
          <w:rFonts w:ascii="Segoe UI" w:eastAsia="Times New Roman" w:hAnsi="Segoe UI" w:cs="Segoe UI"/>
          <w:color w:val="000000"/>
        </w:rPr>
        <w:t xml:space="preserve">. </w:t>
      </w:r>
    </w:p>
    <w:p w:rsidR="006C6C04" w:rsidRPr="00B6340E" w:rsidRDefault="006C6C04" w:rsidP="006C6C04">
      <w:pPr>
        <w:pBdr>
          <w:bottom w:val="single" w:sz="6" w:space="1" w:color="auto"/>
        </w:pBdr>
        <w:jc w:val="center"/>
        <w:rPr>
          <w:rFonts w:ascii="Arial" w:eastAsia="Times New Roman" w:hAnsi="Arial" w:cs="Arial"/>
          <w:vanish/>
          <w:sz w:val="16"/>
          <w:szCs w:val="16"/>
        </w:rPr>
      </w:pPr>
      <w:r w:rsidRPr="00B6340E">
        <w:rPr>
          <w:rFonts w:ascii="Arial" w:eastAsia="Times New Roman" w:hAnsi="Arial" w:cs="Arial"/>
          <w:vanish/>
          <w:sz w:val="16"/>
          <w:szCs w:val="16"/>
        </w:rPr>
        <w:t>Top of Form</w:t>
      </w:r>
    </w:p>
    <w:p w:rsidR="006C6C04" w:rsidRPr="00B6340E" w:rsidRDefault="006C6C04" w:rsidP="006C6C04">
      <w:pPr>
        <w:pBdr>
          <w:top w:val="single" w:sz="6" w:space="1" w:color="auto"/>
        </w:pBdr>
        <w:jc w:val="center"/>
        <w:rPr>
          <w:rFonts w:ascii="Arial" w:eastAsia="Times New Roman" w:hAnsi="Arial" w:cs="Arial"/>
          <w:vanish/>
          <w:sz w:val="16"/>
          <w:szCs w:val="16"/>
        </w:rPr>
      </w:pPr>
      <w:r w:rsidRPr="00B6340E">
        <w:rPr>
          <w:rFonts w:ascii="Arial" w:eastAsia="Times New Roman" w:hAnsi="Arial" w:cs="Arial"/>
          <w:vanish/>
          <w:sz w:val="16"/>
          <w:szCs w:val="16"/>
        </w:rPr>
        <w:t>Bottom of Form</w:t>
      </w:r>
    </w:p>
    <w:p w:rsidR="00B6340E" w:rsidRPr="00B6340E" w:rsidRDefault="00B6340E" w:rsidP="00B6340E">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rPr>
      </w:pPr>
      <w:r w:rsidRPr="00B6340E">
        <w:rPr>
          <w:rFonts w:ascii="Segoe UI" w:eastAsia="Times New Roman" w:hAnsi="Segoe UI" w:cs="Segoe UI"/>
          <w:color w:val="000000"/>
        </w:rPr>
        <w:t>MYGAs:</w:t>
      </w:r>
    </w:p>
    <w:p w:rsidR="006C6C04" w:rsidRDefault="006C6C04"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Pr>
          <w:rFonts w:ascii="Segoe UI" w:eastAsia="Times New Roman" w:hAnsi="Segoe UI" w:cs="Segoe UI"/>
          <w:color w:val="000000"/>
        </w:rPr>
        <w:t>A</w:t>
      </w:r>
      <w:r w:rsidRPr="00B6340E">
        <w:rPr>
          <w:rFonts w:ascii="Segoe UI" w:eastAsia="Times New Roman" w:hAnsi="Segoe UI" w:cs="Segoe UI"/>
          <w:color w:val="000000"/>
        </w:rPr>
        <w:t xml:space="preserve">re offered by insurance companies and guarantee both the principal and interest </w:t>
      </w:r>
    </w:p>
    <w:p w:rsidR="00B6340E" w:rsidRPr="00B6340E" w:rsidRDefault="00B6340E"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Are a type of fixed annuity, which is a contract between you and an insurance company</w:t>
      </w:r>
    </w:p>
    <w:p w:rsidR="00B6340E" w:rsidRPr="00B6340E" w:rsidRDefault="00B6340E"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Offer a guaranteed rate of return over a set number of years, typically ranging from 3 to 10</w:t>
      </w:r>
    </w:p>
    <w:p w:rsidR="00B6340E" w:rsidRPr="00B6340E" w:rsidRDefault="00B6340E"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proofErr w:type="gramStart"/>
      <w:r w:rsidRPr="00B6340E">
        <w:rPr>
          <w:rFonts w:ascii="Segoe UI" w:eastAsia="Times New Roman" w:hAnsi="Segoe UI" w:cs="Segoe UI"/>
          <w:color w:val="000000"/>
        </w:rPr>
        <w:t>Generally</w:t>
      </w:r>
      <w:proofErr w:type="gramEnd"/>
      <w:r w:rsidRPr="00B6340E">
        <w:rPr>
          <w:rFonts w:ascii="Segoe UI" w:eastAsia="Times New Roman" w:hAnsi="Segoe UI" w:cs="Segoe UI"/>
          <w:color w:val="000000"/>
        </w:rPr>
        <w:t xml:space="preserve"> have higher rates than CDs and provide tax-deferred growth</w:t>
      </w:r>
    </w:p>
    <w:p w:rsidR="00B6340E" w:rsidRPr="00B6340E" w:rsidRDefault="00B6340E"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May have surrender charges if you withdraw funds before the end of the term</w:t>
      </w:r>
    </w:p>
    <w:p w:rsidR="00B6340E" w:rsidRPr="00B6340E" w:rsidRDefault="00B6340E" w:rsidP="00B6340E">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Offer a guaranteed return of principal and interest, but the actual return may be lower than the guaranteed rate if there is a drop in interest rates</w:t>
      </w:r>
    </w:p>
    <w:p w:rsidR="00B6340E" w:rsidRPr="00B6340E" w:rsidRDefault="00B6340E" w:rsidP="00B6340E">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rPr>
      </w:pPr>
      <w:r w:rsidRPr="00B6340E">
        <w:rPr>
          <w:rFonts w:ascii="Segoe UI" w:eastAsia="Times New Roman" w:hAnsi="Segoe UI" w:cs="Segoe UI"/>
          <w:color w:val="000000"/>
        </w:rPr>
        <w:t>C</w:t>
      </w:r>
      <w:r w:rsidR="006C6C04">
        <w:rPr>
          <w:rFonts w:ascii="Segoe UI" w:eastAsia="Times New Roman" w:hAnsi="Segoe UI" w:cs="Segoe UI"/>
          <w:color w:val="000000"/>
        </w:rPr>
        <w:t xml:space="preserve">ertificates of </w:t>
      </w:r>
      <w:r w:rsidRPr="00B6340E">
        <w:rPr>
          <w:rFonts w:ascii="Segoe UI" w:eastAsia="Times New Roman" w:hAnsi="Segoe UI" w:cs="Segoe UI"/>
          <w:color w:val="000000"/>
        </w:rPr>
        <w:t>D</w:t>
      </w:r>
      <w:r w:rsidR="006C6C04">
        <w:rPr>
          <w:rFonts w:ascii="Segoe UI" w:eastAsia="Times New Roman" w:hAnsi="Segoe UI" w:cs="Segoe UI"/>
          <w:color w:val="000000"/>
        </w:rPr>
        <w:t>eposit</w:t>
      </w:r>
      <w:r w:rsidRPr="00B6340E">
        <w:rPr>
          <w:rFonts w:ascii="Segoe UI" w:eastAsia="Times New Roman" w:hAnsi="Segoe UI" w:cs="Segoe UI"/>
          <w:color w:val="000000"/>
        </w:rPr>
        <w:t>s:</w:t>
      </w:r>
    </w:p>
    <w:p w:rsidR="00B6340E" w:rsidRPr="00B6340E" w:rsidRDefault="00B6340E" w:rsidP="00B6340E">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Are a type of savings account offered by banks and credit unions</w:t>
      </w:r>
    </w:p>
    <w:p w:rsidR="00B6340E" w:rsidRPr="00B6340E" w:rsidRDefault="00B6340E" w:rsidP="00B6340E">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Offer a fixed rate of return for a set term, typically ranging from 3 months to 5 years</w:t>
      </w:r>
    </w:p>
    <w:p w:rsidR="00B6340E" w:rsidRPr="00B6340E" w:rsidRDefault="00B6340E" w:rsidP="00B6340E">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Offer lower rates than MYGAs, but the returns are FDIC insured up to $250,000</w:t>
      </w:r>
    </w:p>
    <w:p w:rsidR="00B6340E" w:rsidRPr="00B6340E" w:rsidRDefault="00B6340E" w:rsidP="00B6340E">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rPr>
      </w:pPr>
      <w:r w:rsidRPr="00B6340E">
        <w:rPr>
          <w:rFonts w:ascii="Segoe UI" w:eastAsia="Times New Roman" w:hAnsi="Segoe UI" w:cs="Segoe UI"/>
          <w:color w:val="000000"/>
        </w:rPr>
        <w:t>Early withdrawals from CDs may result in a penalty</w:t>
      </w:r>
    </w:p>
    <w:p w:rsidR="00B6340E" w:rsidRPr="00B6340E" w:rsidRDefault="00B6340E" w:rsidP="00B6340E">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color w:val="000000"/>
        </w:rPr>
      </w:pPr>
      <w:r w:rsidRPr="00B6340E">
        <w:rPr>
          <w:rFonts w:ascii="Segoe UI" w:eastAsia="Times New Roman" w:hAnsi="Segoe UI" w:cs="Segoe UI"/>
          <w:color w:val="000000"/>
        </w:rPr>
        <w:t xml:space="preserve">In summary, </w:t>
      </w:r>
      <w:r w:rsidR="006C6C04" w:rsidRPr="00B6340E">
        <w:rPr>
          <w:rFonts w:ascii="Segoe UI" w:eastAsia="Times New Roman" w:hAnsi="Segoe UI" w:cs="Segoe UI"/>
          <w:color w:val="000000"/>
        </w:rPr>
        <w:t>MYGAs and CDs are both safe and predictable fixed-income investments, but MYGAs are offered by insurance companies and CDs by banks.</w:t>
      </w:r>
      <w:r w:rsidR="006C6C04">
        <w:rPr>
          <w:rFonts w:ascii="Segoe UI" w:eastAsia="Times New Roman" w:hAnsi="Segoe UI" w:cs="Segoe UI"/>
          <w:color w:val="000000"/>
        </w:rPr>
        <w:t xml:space="preserve"> </w:t>
      </w:r>
      <w:r w:rsidRPr="00B6340E">
        <w:rPr>
          <w:rFonts w:ascii="Segoe UI" w:eastAsia="Times New Roman" w:hAnsi="Segoe UI" w:cs="Segoe UI"/>
          <w:color w:val="000000"/>
        </w:rPr>
        <w:t>MYGAs offer higher guaranteed rates and tax-deferred growth but have restrictions on withdrawals, while CDs offer lower rates but FDIC insurance and more flexibility. The choice between them will depend on your financial goals and risk tolerance.</w:t>
      </w:r>
      <w:r w:rsidR="006C6C04">
        <w:rPr>
          <w:rFonts w:ascii="Segoe UI" w:eastAsia="Times New Roman" w:hAnsi="Segoe UI" w:cs="Segoe UI"/>
          <w:color w:val="000000"/>
        </w:rPr>
        <w:t xml:space="preserve"> </w:t>
      </w:r>
    </w:p>
    <w:p w:rsidR="00B6340E" w:rsidRPr="00B6340E" w:rsidRDefault="00B6340E" w:rsidP="00B6340E">
      <w:pPr>
        <w:pBdr>
          <w:bottom w:val="single" w:sz="6" w:space="1" w:color="auto"/>
        </w:pBdr>
        <w:jc w:val="center"/>
        <w:rPr>
          <w:rFonts w:ascii="Arial" w:eastAsia="Times New Roman" w:hAnsi="Arial" w:cs="Arial"/>
          <w:vanish/>
          <w:sz w:val="16"/>
          <w:szCs w:val="16"/>
        </w:rPr>
      </w:pPr>
      <w:r w:rsidRPr="00B6340E">
        <w:rPr>
          <w:rFonts w:ascii="Arial" w:eastAsia="Times New Roman" w:hAnsi="Arial" w:cs="Arial"/>
          <w:vanish/>
          <w:sz w:val="16"/>
          <w:szCs w:val="16"/>
        </w:rPr>
        <w:t>Top of Form</w:t>
      </w:r>
    </w:p>
    <w:p w:rsidR="00B6340E" w:rsidRDefault="00B6340E"/>
    <w:p w:rsidR="00B6340E" w:rsidRDefault="00B6340E"/>
    <w:sectPr w:rsidR="00B6340E" w:rsidSect="0098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9"/>
    <w:multiLevelType w:val="multilevel"/>
    <w:tmpl w:val="91C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8801E1"/>
    <w:multiLevelType w:val="multilevel"/>
    <w:tmpl w:val="6D26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430757">
    <w:abstractNumId w:val="1"/>
  </w:num>
  <w:num w:numId="2" w16cid:durableId="48386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0E"/>
    <w:rsid w:val="002316ED"/>
    <w:rsid w:val="006C6C04"/>
    <w:rsid w:val="00986381"/>
    <w:rsid w:val="00B6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51978"/>
  <w15:chartTrackingRefBased/>
  <w15:docId w15:val="{FF99EFE6-F4EC-D34F-859F-23B3EC7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40E"/>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B6340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34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340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340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67586">
      <w:bodyDiv w:val="1"/>
      <w:marLeft w:val="0"/>
      <w:marRight w:val="0"/>
      <w:marTop w:val="0"/>
      <w:marBottom w:val="0"/>
      <w:divBdr>
        <w:top w:val="none" w:sz="0" w:space="0" w:color="auto"/>
        <w:left w:val="none" w:sz="0" w:space="0" w:color="auto"/>
        <w:bottom w:val="none" w:sz="0" w:space="0" w:color="auto"/>
        <w:right w:val="none" w:sz="0" w:space="0" w:color="auto"/>
      </w:divBdr>
      <w:divsChild>
        <w:div w:id="312872032">
          <w:marLeft w:val="0"/>
          <w:marRight w:val="0"/>
          <w:marTop w:val="0"/>
          <w:marBottom w:val="0"/>
          <w:divBdr>
            <w:top w:val="single" w:sz="2" w:space="0" w:color="D9D9E3"/>
            <w:left w:val="single" w:sz="2" w:space="0" w:color="D9D9E3"/>
            <w:bottom w:val="single" w:sz="2" w:space="0" w:color="D9D9E3"/>
            <w:right w:val="single" w:sz="2" w:space="0" w:color="D9D9E3"/>
          </w:divBdr>
          <w:divsChild>
            <w:div w:id="1188253141">
              <w:marLeft w:val="0"/>
              <w:marRight w:val="0"/>
              <w:marTop w:val="0"/>
              <w:marBottom w:val="0"/>
              <w:divBdr>
                <w:top w:val="single" w:sz="2" w:space="0" w:color="D9D9E3"/>
                <w:left w:val="single" w:sz="2" w:space="0" w:color="D9D9E3"/>
                <w:bottom w:val="single" w:sz="2" w:space="0" w:color="D9D9E3"/>
                <w:right w:val="single" w:sz="2" w:space="0" w:color="D9D9E3"/>
              </w:divBdr>
              <w:divsChild>
                <w:div w:id="231552326">
                  <w:marLeft w:val="0"/>
                  <w:marRight w:val="0"/>
                  <w:marTop w:val="0"/>
                  <w:marBottom w:val="0"/>
                  <w:divBdr>
                    <w:top w:val="single" w:sz="2" w:space="0" w:color="D9D9E3"/>
                    <w:left w:val="single" w:sz="2" w:space="0" w:color="D9D9E3"/>
                    <w:bottom w:val="single" w:sz="2" w:space="0" w:color="D9D9E3"/>
                    <w:right w:val="single" w:sz="2" w:space="0" w:color="D9D9E3"/>
                  </w:divBdr>
                  <w:divsChild>
                    <w:div w:id="1050762894">
                      <w:marLeft w:val="0"/>
                      <w:marRight w:val="0"/>
                      <w:marTop w:val="0"/>
                      <w:marBottom w:val="0"/>
                      <w:divBdr>
                        <w:top w:val="single" w:sz="2" w:space="0" w:color="D9D9E3"/>
                        <w:left w:val="single" w:sz="2" w:space="0" w:color="D9D9E3"/>
                        <w:bottom w:val="single" w:sz="2" w:space="0" w:color="D9D9E3"/>
                        <w:right w:val="single" w:sz="2" w:space="0" w:color="D9D9E3"/>
                      </w:divBdr>
                      <w:divsChild>
                        <w:div w:id="1799831658">
                          <w:marLeft w:val="0"/>
                          <w:marRight w:val="0"/>
                          <w:marTop w:val="0"/>
                          <w:marBottom w:val="0"/>
                          <w:divBdr>
                            <w:top w:val="single" w:sz="2" w:space="0" w:color="auto"/>
                            <w:left w:val="single" w:sz="2" w:space="0" w:color="auto"/>
                            <w:bottom w:val="single" w:sz="6" w:space="0" w:color="auto"/>
                            <w:right w:val="single" w:sz="2" w:space="0" w:color="auto"/>
                          </w:divBdr>
                          <w:divsChild>
                            <w:div w:id="2402187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2997200">
                                  <w:marLeft w:val="0"/>
                                  <w:marRight w:val="0"/>
                                  <w:marTop w:val="0"/>
                                  <w:marBottom w:val="0"/>
                                  <w:divBdr>
                                    <w:top w:val="single" w:sz="2" w:space="0" w:color="D9D9E3"/>
                                    <w:left w:val="single" w:sz="2" w:space="0" w:color="D9D9E3"/>
                                    <w:bottom w:val="single" w:sz="2" w:space="0" w:color="D9D9E3"/>
                                    <w:right w:val="single" w:sz="2" w:space="0" w:color="D9D9E3"/>
                                  </w:divBdr>
                                  <w:divsChild>
                                    <w:div w:id="407776182">
                                      <w:marLeft w:val="0"/>
                                      <w:marRight w:val="0"/>
                                      <w:marTop w:val="0"/>
                                      <w:marBottom w:val="0"/>
                                      <w:divBdr>
                                        <w:top w:val="single" w:sz="2" w:space="0" w:color="D9D9E3"/>
                                        <w:left w:val="single" w:sz="2" w:space="0" w:color="D9D9E3"/>
                                        <w:bottom w:val="single" w:sz="2" w:space="0" w:color="D9D9E3"/>
                                        <w:right w:val="single" w:sz="2" w:space="0" w:color="D9D9E3"/>
                                      </w:divBdr>
                                      <w:divsChild>
                                        <w:div w:id="1376151113">
                                          <w:marLeft w:val="0"/>
                                          <w:marRight w:val="0"/>
                                          <w:marTop w:val="0"/>
                                          <w:marBottom w:val="0"/>
                                          <w:divBdr>
                                            <w:top w:val="single" w:sz="2" w:space="0" w:color="D9D9E3"/>
                                            <w:left w:val="single" w:sz="2" w:space="0" w:color="D9D9E3"/>
                                            <w:bottom w:val="single" w:sz="2" w:space="0" w:color="D9D9E3"/>
                                            <w:right w:val="single" w:sz="2" w:space="0" w:color="D9D9E3"/>
                                          </w:divBdr>
                                          <w:divsChild>
                                            <w:div w:id="6389971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184807">
          <w:marLeft w:val="0"/>
          <w:marRight w:val="0"/>
          <w:marTop w:val="0"/>
          <w:marBottom w:val="0"/>
          <w:divBdr>
            <w:top w:val="none" w:sz="0" w:space="0" w:color="auto"/>
            <w:left w:val="none" w:sz="0" w:space="0" w:color="auto"/>
            <w:bottom w:val="none" w:sz="0" w:space="0" w:color="auto"/>
            <w:right w:val="none" w:sz="0" w:space="0" w:color="auto"/>
          </w:divBdr>
          <w:divsChild>
            <w:div w:id="1239628754">
              <w:marLeft w:val="0"/>
              <w:marRight w:val="0"/>
              <w:marTop w:val="0"/>
              <w:marBottom w:val="0"/>
              <w:divBdr>
                <w:top w:val="single" w:sz="2" w:space="0" w:color="D9D9E3"/>
                <w:left w:val="single" w:sz="2" w:space="0" w:color="D9D9E3"/>
                <w:bottom w:val="single" w:sz="2" w:space="0" w:color="D9D9E3"/>
                <w:right w:val="single" w:sz="2" w:space="0" w:color="D9D9E3"/>
              </w:divBdr>
              <w:divsChild>
                <w:div w:id="1122647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0214035">
      <w:bodyDiv w:val="1"/>
      <w:marLeft w:val="0"/>
      <w:marRight w:val="0"/>
      <w:marTop w:val="0"/>
      <w:marBottom w:val="0"/>
      <w:divBdr>
        <w:top w:val="none" w:sz="0" w:space="0" w:color="auto"/>
        <w:left w:val="none" w:sz="0" w:space="0" w:color="auto"/>
        <w:bottom w:val="none" w:sz="0" w:space="0" w:color="auto"/>
        <w:right w:val="none" w:sz="0" w:space="0" w:color="auto"/>
      </w:divBdr>
      <w:divsChild>
        <w:div w:id="307320080">
          <w:marLeft w:val="0"/>
          <w:marRight w:val="0"/>
          <w:marTop w:val="0"/>
          <w:marBottom w:val="0"/>
          <w:divBdr>
            <w:top w:val="single" w:sz="2" w:space="0" w:color="D9D9E3"/>
            <w:left w:val="single" w:sz="2" w:space="0" w:color="D9D9E3"/>
            <w:bottom w:val="single" w:sz="2" w:space="0" w:color="D9D9E3"/>
            <w:right w:val="single" w:sz="2" w:space="0" w:color="D9D9E3"/>
          </w:divBdr>
          <w:divsChild>
            <w:div w:id="770859769">
              <w:marLeft w:val="0"/>
              <w:marRight w:val="0"/>
              <w:marTop w:val="0"/>
              <w:marBottom w:val="0"/>
              <w:divBdr>
                <w:top w:val="single" w:sz="2" w:space="0" w:color="D9D9E3"/>
                <w:left w:val="single" w:sz="2" w:space="0" w:color="D9D9E3"/>
                <w:bottom w:val="single" w:sz="2" w:space="0" w:color="D9D9E3"/>
                <w:right w:val="single" w:sz="2" w:space="0" w:color="D9D9E3"/>
              </w:divBdr>
              <w:divsChild>
                <w:div w:id="635797120">
                  <w:marLeft w:val="0"/>
                  <w:marRight w:val="0"/>
                  <w:marTop w:val="0"/>
                  <w:marBottom w:val="0"/>
                  <w:divBdr>
                    <w:top w:val="single" w:sz="2" w:space="0" w:color="D9D9E3"/>
                    <w:left w:val="single" w:sz="2" w:space="0" w:color="D9D9E3"/>
                    <w:bottom w:val="single" w:sz="2" w:space="0" w:color="D9D9E3"/>
                    <w:right w:val="single" w:sz="2" w:space="0" w:color="D9D9E3"/>
                  </w:divBdr>
                  <w:divsChild>
                    <w:div w:id="2083286922">
                      <w:marLeft w:val="0"/>
                      <w:marRight w:val="0"/>
                      <w:marTop w:val="0"/>
                      <w:marBottom w:val="0"/>
                      <w:divBdr>
                        <w:top w:val="single" w:sz="2" w:space="0" w:color="D9D9E3"/>
                        <w:left w:val="single" w:sz="2" w:space="0" w:color="D9D9E3"/>
                        <w:bottom w:val="single" w:sz="2" w:space="0" w:color="D9D9E3"/>
                        <w:right w:val="single" w:sz="2" w:space="0" w:color="D9D9E3"/>
                      </w:divBdr>
                      <w:divsChild>
                        <w:div w:id="822966135">
                          <w:marLeft w:val="0"/>
                          <w:marRight w:val="0"/>
                          <w:marTop w:val="0"/>
                          <w:marBottom w:val="0"/>
                          <w:divBdr>
                            <w:top w:val="single" w:sz="2" w:space="0" w:color="auto"/>
                            <w:left w:val="single" w:sz="2" w:space="0" w:color="auto"/>
                            <w:bottom w:val="single" w:sz="6" w:space="0" w:color="auto"/>
                            <w:right w:val="single" w:sz="2" w:space="0" w:color="auto"/>
                          </w:divBdr>
                          <w:divsChild>
                            <w:div w:id="2090271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59756210">
                                  <w:marLeft w:val="0"/>
                                  <w:marRight w:val="0"/>
                                  <w:marTop w:val="0"/>
                                  <w:marBottom w:val="0"/>
                                  <w:divBdr>
                                    <w:top w:val="single" w:sz="2" w:space="0" w:color="D9D9E3"/>
                                    <w:left w:val="single" w:sz="2" w:space="0" w:color="D9D9E3"/>
                                    <w:bottom w:val="single" w:sz="2" w:space="0" w:color="D9D9E3"/>
                                    <w:right w:val="single" w:sz="2" w:space="0" w:color="D9D9E3"/>
                                  </w:divBdr>
                                  <w:divsChild>
                                    <w:div w:id="1555504505">
                                      <w:marLeft w:val="0"/>
                                      <w:marRight w:val="0"/>
                                      <w:marTop w:val="0"/>
                                      <w:marBottom w:val="0"/>
                                      <w:divBdr>
                                        <w:top w:val="single" w:sz="2" w:space="0" w:color="D9D9E3"/>
                                        <w:left w:val="single" w:sz="2" w:space="0" w:color="D9D9E3"/>
                                        <w:bottom w:val="single" w:sz="2" w:space="0" w:color="D9D9E3"/>
                                        <w:right w:val="single" w:sz="2" w:space="0" w:color="D9D9E3"/>
                                      </w:divBdr>
                                      <w:divsChild>
                                        <w:div w:id="1395356008">
                                          <w:marLeft w:val="0"/>
                                          <w:marRight w:val="0"/>
                                          <w:marTop w:val="0"/>
                                          <w:marBottom w:val="0"/>
                                          <w:divBdr>
                                            <w:top w:val="single" w:sz="2" w:space="0" w:color="D9D9E3"/>
                                            <w:left w:val="single" w:sz="2" w:space="0" w:color="D9D9E3"/>
                                            <w:bottom w:val="single" w:sz="2" w:space="0" w:color="D9D9E3"/>
                                            <w:right w:val="single" w:sz="2" w:space="0" w:color="D9D9E3"/>
                                          </w:divBdr>
                                          <w:divsChild>
                                            <w:div w:id="1338537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75908977">
                          <w:marLeft w:val="0"/>
                          <w:marRight w:val="0"/>
                          <w:marTop w:val="0"/>
                          <w:marBottom w:val="0"/>
                          <w:divBdr>
                            <w:top w:val="single" w:sz="2" w:space="0" w:color="auto"/>
                            <w:left w:val="single" w:sz="2" w:space="0" w:color="auto"/>
                            <w:bottom w:val="single" w:sz="6" w:space="0" w:color="auto"/>
                            <w:right w:val="single" w:sz="2" w:space="0" w:color="auto"/>
                          </w:divBdr>
                          <w:divsChild>
                            <w:div w:id="89662564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8182503">
                                  <w:marLeft w:val="0"/>
                                  <w:marRight w:val="0"/>
                                  <w:marTop w:val="0"/>
                                  <w:marBottom w:val="0"/>
                                  <w:divBdr>
                                    <w:top w:val="single" w:sz="2" w:space="0" w:color="D9D9E3"/>
                                    <w:left w:val="single" w:sz="2" w:space="0" w:color="D9D9E3"/>
                                    <w:bottom w:val="single" w:sz="2" w:space="0" w:color="D9D9E3"/>
                                    <w:right w:val="single" w:sz="2" w:space="0" w:color="D9D9E3"/>
                                  </w:divBdr>
                                  <w:divsChild>
                                    <w:div w:id="116997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69833647">
                                  <w:marLeft w:val="0"/>
                                  <w:marRight w:val="0"/>
                                  <w:marTop w:val="0"/>
                                  <w:marBottom w:val="0"/>
                                  <w:divBdr>
                                    <w:top w:val="single" w:sz="2" w:space="0" w:color="D9D9E3"/>
                                    <w:left w:val="single" w:sz="2" w:space="0" w:color="D9D9E3"/>
                                    <w:bottom w:val="single" w:sz="2" w:space="0" w:color="D9D9E3"/>
                                    <w:right w:val="single" w:sz="2" w:space="0" w:color="D9D9E3"/>
                                  </w:divBdr>
                                  <w:divsChild>
                                    <w:div w:id="25909575">
                                      <w:marLeft w:val="0"/>
                                      <w:marRight w:val="0"/>
                                      <w:marTop w:val="0"/>
                                      <w:marBottom w:val="0"/>
                                      <w:divBdr>
                                        <w:top w:val="single" w:sz="2" w:space="0" w:color="D9D9E3"/>
                                        <w:left w:val="single" w:sz="2" w:space="0" w:color="D9D9E3"/>
                                        <w:bottom w:val="single" w:sz="2" w:space="0" w:color="D9D9E3"/>
                                        <w:right w:val="single" w:sz="2" w:space="0" w:color="D9D9E3"/>
                                      </w:divBdr>
                                      <w:divsChild>
                                        <w:div w:id="1507482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89952299">
                          <w:marLeft w:val="0"/>
                          <w:marRight w:val="0"/>
                          <w:marTop w:val="0"/>
                          <w:marBottom w:val="0"/>
                          <w:divBdr>
                            <w:top w:val="single" w:sz="2" w:space="0" w:color="auto"/>
                            <w:left w:val="single" w:sz="2" w:space="0" w:color="auto"/>
                            <w:bottom w:val="single" w:sz="6" w:space="0" w:color="auto"/>
                            <w:right w:val="single" w:sz="2" w:space="0" w:color="auto"/>
                          </w:divBdr>
                          <w:divsChild>
                            <w:div w:id="1128400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18636732">
                                  <w:marLeft w:val="0"/>
                                  <w:marRight w:val="0"/>
                                  <w:marTop w:val="0"/>
                                  <w:marBottom w:val="0"/>
                                  <w:divBdr>
                                    <w:top w:val="single" w:sz="2" w:space="0" w:color="D9D9E3"/>
                                    <w:left w:val="single" w:sz="2" w:space="0" w:color="D9D9E3"/>
                                    <w:bottom w:val="single" w:sz="2" w:space="0" w:color="D9D9E3"/>
                                    <w:right w:val="single" w:sz="2" w:space="0" w:color="D9D9E3"/>
                                  </w:divBdr>
                                  <w:divsChild>
                                    <w:div w:id="532696329">
                                      <w:marLeft w:val="0"/>
                                      <w:marRight w:val="0"/>
                                      <w:marTop w:val="0"/>
                                      <w:marBottom w:val="0"/>
                                      <w:divBdr>
                                        <w:top w:val="single" w:sz="2" w:space="0" w:color="D9D9E3"/>
                                        <w:left w:val="single" w:sz="2" w:space="0" w:color="D9D9E3"/>
                                        <w:bottom w:val="single" w:sz="2" w:space="0" w:color="D9D9E3"/>
                                        <w:right w:val="single" w:sz="2" w:space="0" w:color="D9D9E3"/>
                                      </w:divBdr>
                                      <w:divsChild>
                                        <w:div w:id="1516267765">
                                          <w:marLeft w:val="0"/>
                                          <w:marRight w:val="0"/>
                                          <w:marTop w:val="0"/>
                                          <w:marBottom w:val="0"/>
                                          <w:divBdr>
                                            <w:top w:val="single" w:sz="2" w:space="0" w:color="D9D9E3"/>
                                            <w:left w:val="single" w:sz="2" w:space="0" w:color="D9D9E3"/>
                                            <w:bottom w:val="single" w:sz="2" w:space="0" w:color="D9D9E3"/>
                                            <w:right w:val="single" w:sz="2" w:space="0" w:color="D9D9E3"/>
                                          </w:divBdr>
                                          <w:divsChild>
                                            <w:div w:id="198131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49141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lalande</dc:creator>
  <cp:keywords/>
  <dc:description/>
  <cp:lastModifiedBy>linda lalande</cp:lastModifiedBy>
  <cp:revision>2</cp:revision>
  <dcterms:created xsi:type="dcterms:W3CDTF">2023-02-01T18:18:00Z</dcterms:created>
  <dcterms:modified xsi:type="dcterms:W3CDTF">2023-02-01T18:18:00Z</dcterms:modified>
</cp:coreProperties>
</file>